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E43FA" w14:textId="3669073E" w:rsidR="0039344D" w:rsidRDefault="00640570" w:rsidP="00640570">
      <w:pPr>
        <w:jc w:val="center"/>
        <w:rPr>
          <w:b/>
          <w:bCs/>
          <w:sz w:val="40"/>
          <w:szCs w:val="40"/>
        </w:rPr>
      </w:pPr>
      <w:r>
        <w:rPr>
          <w:b/>
          <w:bCs/>
          <w:sz w:val="40"/>
          <w:szCs w:val="40"/>
        </w:rPr>
        <w:t>LA CONQUÊTE DE LA PALESTINE</w:t>
      </w:r>
    </w:p>
    <w:p w14:paraId="7647B80D" w14:textId="386CC575" w:rsidR="00640570" w:rsidRDefault="00640570" w:rsidP="00640570">
      <w:pPr>
        <w:jc w:val="center"/>
        <w:rPr>
          <w:b/>
          <w:bCs/>
          <w:sz w:val="40"/>
          <w:szCs w:val="40"/>
        </w:rPr>
      </w:pPr>
    </w:p>
    <w:p w14:paraId="3FDFE15C" w14:textId="46AD27E7" w:rsidR="00640570" w:rsidRDefault="00640570" w:rsidP="00640570">
      <w:pPr>
        <w:jc w:val="center"/>
        <w:rPr>
          <w:b/>
          <w:bCs/>
          <w:sz w:val="40"/>
          <w:szCs w:val="40"/>
        </w:rPr>
      </w:pPr>
      <w:r>
        <w:rPr>
          <w:b/>
          <w:bCs/>
          <w:sz w:val="40"/>
          <w:szCs w:val="40"/>
        </w:rPr>
        <w:t>Rachad Antonius</w:t>
      </w:r>
    </w:p>
    <w:p w14:paraId="7BE0B111" w14:textId="75F5C572" w:rsidR="00640570" w:rsidRDefault="00640570" w:rsidP="00640570">
      <w:pPr>
        <w:jc w:val="center"/>
        <w:rPr>
          <w:b/>
          <w:bCs/>
          <w:sz w:val="40"/>
          <w:szCs w:val="40"/>
        </w:rPr>
      </w:pPr>
    </w:p>
    <w:p w14:paraId="70A49262" w14:textId="127F7BED" w:rsidR="00640570" w:rsidRDefault="00640570" w:rsidP="00640570">
      <w:pPr>
        <w:jc w:val="center"/>
        <w:rPr>
          <w:b/>
          <w:bCs/>
          <w:sz w:val="40"/>
          <w:szCs w:val="40"/>
        </w:rPr>
      </w:pPr>
      <w:r>
        <w:rPr>
          <w:b/>
          <w:bCs/>
          <w:sz w:val="40"/>
          <w:szCs w:val="40"/>
        </w:rPr>
        <w:t xml:space="preserve">Les Éditions </w:t>
      </w:r>
      <w:proofErr w:type="spellStart"/>
      <w:r>
        <w:rPr>
          <w:b/>
          <w:bCs/>
          <w:sz w:val="40"/>
          <w:szCs w:val="40"/>
        </w:rPr>
        <w:t>Écosociété</w:t>
      </w:r>
      <w:proofErr w:type="spellEnd"/>
      <w:r>
        <w:rPr>
          <w:b/>
          <w:bCs/>
          <w:sz w:val="40"/>
          <w:szCs w:val="40"/>
        </w:rPr>
        <w:t>, 2024</w:t>
      </w:r>
    </w:p>
    <w:p w14:paraId="3FC1FF73" w14:textId="1071BC24" w:rsidR="00640570" w:rsidRDefault="00640570" w:rsidP="00640570">
      <w:pPr>
        <w:jc w:val="center"/>
        <w:rPr>
          <w:b/>
          <w:bCs/>
          <w:sz w:val="40"/>
          <w:szCs w:val="40"/>
        </w:rPr>
      </w:pPr>
    </w:p>
    <w:p w14:paraId="764B70FD" w14:textId="4FC354EE" w:rsidR="00640570" w:rsidRDefault="00640570" w:rsidP="00640570">
      <w:pPr>
        <w:jc w:val="center"/>
        <w:rPr>
          <w:b/>
          <w:bCs/>
          <w:sz w:val="40"/>
          <w:szCs w:val="40"/>
        </w:rPr>
      </w:pPr>
      <w:r>
        <w:rPr>
          <w:b/>
          <w:bCs/>
          <w:sz w:val="40"/>
          <w:szCs w:val="40"/>
        </w:rPr>
        <w:t>Extraits</w:t>
      </w:r>
    </w:p>
    <w:p w14:paraId="139E211B" w14:textId="3468B8D7" w:rsidR="00640570" w:rsidRDefault="00640570" w:rsidP="00640570">
      <w:pPr>
        <w:jc w:val="center"/>
        <w:rPr>
          <w:b/>
          <w:bCs/>
          <w:sz w:val="40"/>
          <w:szCs w:val="40"/>
        </w:rPr>
      </w:pPr>
    </w:p>
    <w:p w14:paraId="2006DCE3" w14:textId="0F803FA3" w:rsidR="00640570" w:rsidRDefault="00640570" w:rsidP="00640570">
      <w:pPr>
        <w:jc w:val="both"/>
        <w:rPr>
          <w:b/>
          <w:bCs/>
          <w:sz w:val="40"/>
          <w:szCs w:val="40"/>
        </w:rPr>
      </w:pPr>
      <w:r>
        <w:rPr>
          <w:b/>
          <w:bCs/>
          <w:sz w:val="40"/>
          <w:szCs w:val="40"/>
        </w:rPr>
        <w:tab/>
        <w:t>De Balfour à Gaza, une guerre de cent ans</w:t>
      </w:r>
    </w:p>
    <w:p w14:paraId="4616141A" w14:textId="580DF2A6" w:rsidR="00EC6777" w:rsidRDefault="00EC6777" w:rsidP="00640570">
      <w:pPr>
        <w:jc w:val="both"/>
        <w:rPr>
          <w:b/>
          <w:bCs/>
          <w:sz w:val="40"/>
          <w:szCs w:val="40"/>
        </w:rPr>
      </w:pPr>
    </w:p>
    <w:p w14:paraId="2A22B5E7" w14:textId="2807A737" w:rsidR="00EC6777" w:rsidRDefault="00EC6777" w:rsidP="00640570">
      <w:pPr>
        <w:jc w:val="both"/>
        <w:rPr>
          <w:b/>
          <w:bCs/>
          <w:sz w:val="40"/>
          <w:szCs w:val="40"/>
        </w:rPr>
      </w:pPr>
      <w:r>
        <w:rPr>
          <w:b/>
          <w:bCs/>
          <w:sz w:val="40"/>
          <w:szCs w:val="40"/>
        </w:rPr>
        <w:tab/>
      </w:r>
      <w:r w:rsidR="00AE4CCA">
        <w:rPr>
          <w:b/>
          <w:bCs/>
          <w:sz w:val="40"/>
          <w:szCs w:val="40"/>
        </w:rPr>
        <w:t xml:space="preserve">En une centaine d’années, des changements majeurs se sont produits en Palestine. </w:t>
      </w:r>
    </w:p>
    <w:p w14:paraId="48A6B57B" w14:textId="3E8D1AFB" w:rsidR="00AE4CCA" w:rsidRDefault="00AE4CCA" w:rsidP="00640570">
      <w:pPr>
        <w:jc w:val="both"/>
        <w:rPr>
          <w:b/>
          <w:bCs/>
          <w:sz w:val="40"/>
          <w:szCs w:val="40"/>
        </w:rPr>
      </w:pPr>
    </w:p>
    <w:p w14:paraId="4650ED38" w14:textId="1D51014B" w:rsidR="00AE4CCA" w:rsidRDefault="00AE4CCA" w:rsidP="00640570">
      <w:pPr>
        <w:jc w:val="both"/>
        <w:rPr>
          <w:b/>
          <w:bCs/>
          <w:sz w:val="40"/>
          <w:szCs w:val="40"/>
        </w:rPr>
      </w:pPr>
      <w:r>
        <w:rPr>
          <w:b/>
          <w:bCs/>
          <w:sz w:val="40"/>
          <w:szCs w:val="40"/>
        </w:rPr>
        <w:tab/>
        <w:t>En 1900, la population qui vit en Palestine est majoritairement arabe. La société palestinienne inclut également des communautés juives locales qui sont arabophones, ainsi que des Juifs européens présents pour des raisons religieuses. Au début du XXe siècle, environ 6% de la population est juive.</w:t>
      </w:r>
    </w:p>
    <w:p w14:paraId="47AB5165" w14:textId="125E5D8C" w:rsidR="00AE4CCA" w:rsidRDefault="00AE4CCA" w:rsidP="00640570">
      <w:pPr>
        <w:jc w:val="both"/>
        <w:rPr>
          <w:b/>
          <w:bCs/>
          <w:sz w:val="40"/>
          <w:szCs w:val="40"/>
        </w:rPr>
      </w:pPr>
    </w:p>
    <w:p w14:paraId="49376CC5" w14:textId="6B664BD0" w:rsidR="00AE4CCA" w:rsidRDefault="00AE4CCA" w:rsidP="00640570">
      <w:pPr>
        <w:jc w:val="both"/>
        <w:rPr>
          <w:b/>
          <w:bCs/>
          <w:sz w:val="40"/>
          <w:szCs w:val="40"/>
        </w:rPr>
      </w:pPr>
      <w:r>
        <w:rPr>
          <w:b/>
          <w:bCs/>
          <w:sz w:val="40"/>
          <w:szCs w:val="40"/>
        </w:rPr>
        <w:tab/>
        <w:t xml:space="preserve">À cette époque, tout le Proche-Orient est sous la domination de l’Empire Ottoman, dont le centre est situé en Turquie, et les institutions de gouvernance : gouverneurs et institutions publiques sont ottomanes. </w:t>
      </w:r>
    </w:p>
    <w:p w14:paraId="4E776585" w14:textId="557E7C00" w:rsidR="00AE4CCA" w:rsidRDefault="00AE4CCA" w:rsidP="00640570">
      <w:pPr>
        <w:jc w:val="both"/>
        <w:rPr>
          <w:b/>
          <w:bCs/>
          <w:sz w:val="40"/>
          <w:szCs w:val="40"/>
        </w:rPr>
      </w:pPr>
    </w:p>
    <w:p w14:paraId="70680049" w14:textId="6D07341F" w:rsidR="00AE4CCA" w:rsidRDefault="00AE4CCA" w:rsidP="00640570">
      <w:pPr>
        <w:jc w:val="both"/>
        <w:rPr>
          <w:b/>
          <w:bCs/>
          <w:sz w:val="40"/>
          <w:szCs w:val="40"/>
        </w:rPr>
      </w:pPr>
      <w:r>
        <w:rPr>
          <w:b/>
          <w:bCs/>
          <w:sz w:val="40"/>
          <w:szCs w:val="40"/>
        </w:rPr>
        <w:lastRenderedPageBreak/>
        <w:tab/>
        <w:t>Cent ans plus tard, en l’an 2000, la société de Palestine est majoritairement juive et vit dans un État désigné sous le nom d’Israël</w:t>
      </w:r>
      <w:r w:rsidR="001B32B0">
        <w:rPr>
          <w:b/>
          <w:bCs/>
          <w:sz w:val="40"/>
          <w:szCs w:val="40"/>
        </w:rPr>
        <w:t xml:space="preserve"> qui affirme son identité juive. Un État qui occupe légalement aux yeux du droit international, 78% de la Palestine historique, mais qui occupe aussi militairement la Cisjordanie et qui exerce un contrôle presque total sur la bande de Gaza, soumise à un blocus sévère depuis 2007, et depuis octobre 2023, à un massacre aux allures de génocide.</w:t>
      </w:r>
    </w:p>
    <w:p w14:paraId="48678DA9" w14:textId="47B264BC" w:rsidR="001B32B0" w:rsidRDefault="001B32B0" w:rsidP="00640570">
      <w:pPr>
        <w:jc w:val="both"/>
        <w:rPr>
          <w:b/>
          <w:bCs/>
          <w:sz w:val="40"/>
          <w:szCs w:val="40"/>
        </w:rPr>
      </w:pPr>
    </w:p>
    <w:p w14:paraId="21CF600F" w14:textId="4790B584" w:rsidR="001B32B0" w:rsidRDefault="001B32B0" w:rsidP="00640570">
      <w:pPr>
        <w:jc w:val="both"/>
        <w:rPr>
          <w:b/>
          <w:bCs/>
          <w:sz w:val="40"/>
          <w:szCs w:val="40"/>
        </w:rPr>
      </w:pPr>
      <w:r>
        <w:rPr>
          <w:b/>
          <w:bCs/>
          <w:sz w:val="40"/>
          <w:szCs w:val="40"/>
        </w:rPr>
        <w:tab/>
        <w:t>Sur l’ensemble de ces territoires occupés, la population palestinienne est privée de son autonomie politique et des moyens de son développement. L’occupation est maintenue par une violence qui prend différentes formes : contrôle militaire, oppression économique, destructions de maison, emprisonnements, assassinats, etc.</w:t>
      </w:r>
    </w:p>
    <w:p w14:paraId="15905156" w14:textId="5C8D158D" w:rsidR="001B32B0" w:rsidRDefault="001B32B0" w:rsidP="00640570">
      <w:pPr>
        <w:jc w:val="both"/>
        <w:rPr>
          <w:b/>
          <w:bCs/>
          <w:sz w:val="40"/>
          <w:szCs w:val="40"/>
        </w:rPr>
      </w:pPr>
    </w:p>
    <w:p w14:paraId="2B809CBD" w14:textId="5FCF0D7F" w:rsidR="001B32B0" w:rsidRDefault="001B32B0" w:rsidP="00640570">
      <w:pPr>
        <w:jc w:val="both"/>
        <w:rPr>
          <w:b/>
          <w:bCs/>
          <w:sz w:val="40"/>
          <w:szCs w:val="40"/>
        </w:rPr>
      </w:pPr>
      <w:r>
        <w:rPr>
          <w:b/>
          <w:bCs/>
          <w:sz w:val="40"/>
          <w:szCs w:val="40"/>
        </w:rPr>
        <w:tab/>
        <w:t>La perspective adoptée dans ce livre est structurée autour de énoncés suivants :</w:t>
      </w:r>
    </w:p>
    <w:p w14:paraId="2545BB59" w14:textId="7F31029F" w:rsidR="001B32B0" w:rsidRDefault="001B32B0" w:rsidP="00640570">
      <w:pPr>
        <w:jc w:val="both"/>
        <w:rPr>
          <w:b/>
          <w:bCs/>
          <w:sz w:val="40"/>
          <w:szCs w:val="40"/>
        </w:rPr>
      </w:pPr>
    </w:p>
    <w:p w14:paraId="163E7DEF" w14:textId="5D451BAC" w:rsidR="001B32B0" w:rsidRDefault="00BA0BAD" w:rsidP="00640570">
      <w:pPr>
        <w:jc w:val="both"/>
        <w:rPr>
          <w:b/>
          <w:bCs/>
          <w:sz w:val="40"/>
          <w:szCs w:val="40"/>
        </w:rPr>
      </w:pPr>
      <w:r>
        <w:rPr>
          <w:b/>
          <w:bCs/>
          <w:sz w:val="40"/>
          <w:szCs w:val="40"/>
        </w:rPr>
        <w:tab/>
        <w:t xml:space="preserve">1 – Avec la création de l’État d’Israël en 1948, les Palestiniens ont subi une injustice historique majeure, qui a consisté à les déposséder de leur terre ainsi que des moyens collectifs nécessaires </w:t>
      </w:r>
      <w:r>
        <w:rPr>
          <w:b/>
          <w:bCs/>
          <w:sz w:val="40"/>
          <w:szCs w:val="40"/>
        </w:rPr>
        <w:lastRenderedPageBreak/>
        <w:t>pour gérer leur présent autant que leur avenir. En 1949, Israël contrôlait 78% de la Palestine historique.</w:t>
      </w:r>
    </w:p>
    <w:p w14:paraId="3F43741F" w14:textId="19CA8C8D" w:rsidR="00BA0BAD" w:rsidRDefault="00BA0BAD" w:rsidP="00640570">
      <w:pPr>
        <w:jc w:val="both"/>
        <w:rPr>
          <w:b/>
          <w:bCs/>
          <w:sz w:val="40"/>
          <w:szCs w:val="40"/>
        </w:rPr>
      </w:pPr>
    </w:p>
    <w:p w14:paraId="0A7EB50C" w14:textId="5AEE5D4D" w:rsidR="00BA0BAD" w:rsidRDefault="00BA0BAD" w:rsidP="00640570">
      <w:pPr>
        <w:jc w:val="both"/>
        <w:rPr>
          <w:b/>
          <w:bCs/>
          <w:sz w:val="40"/>
          <w:szCs w:val="40"/>
        </w:rPr>
      </w:pPr>
      <w:r>
        <w:rPr>
          <w:b/>
          <w:bCs/>
          <w:sz w:val="40"/>
          <w:szCs w:val="40"/>
        </w:rPr>
        <w:tab/>
        <w:t xml:space="preserve">2 - À partir de la guerre de juin 1967, qui a permis à Israël de conquérir 22% des territoires des Palestiniens restants </w:t>
      </w:r>
      <w:proofErr w:type="gramStart"/>
      <w:r>
        <w:rPr>
          <w:b/>
          <w:bCs/>
          <w:sz w:val="40"/>
          <w:szCs w:val="40"/>
        </w:rPr>
        <w:t>( soit</w:t>
      </w:r>
      <w:proofErr w:type="gramEnd"/>
      <w:r>
        <w:rPr>
          <w:b/>
          <w:bCs/>
          <w:sz w:val="40"/>
          <w:szCs w:val="40"/>
        </w:rPr>
        <w:t xml:space="preserve"> la Cisjordanie et la bande Gaza ).</w:t>
      </w:r>
    </w:p>
    <w:p w14:paraId="45915910" w14:textId="74129F70" w:rsidR="00BA0BAD" w:rsidRDefault="00BA0BAD" w:rsidP="00640570">
      <w:pPr>
        <w:jc w:val="both"/>
        <w:rPr>
          <w:b/>
          <w:bCs/>
          <w:sz w:val="40"/>
          <w:szCs w:val="40"/>
        </w:rPr>
      </w:pPr>
    </w:p>
    <w:p w14:paraId="097B89B8" w14:textId="6A75CCE5" w:rsidR="00BA0BAD" w:rsidRDefault="00BA0BAD" w:rsidP="00640570">
      <w:pPr>
        <w:jc w:val="both"/>
        <w:rPr>
          <w:b/>
          <w:bCs/>
          <w:sz w:val="40"/>
          <w:szCs w:val="40"/>
        </w:rPr>
      </w:pPr>
      <w:r>
        <w:rPr>
          <w:b/>
          <w:bCs/>
          <w:sz w:val="40"/>
          <w:szCs w:val="40"/>
        </w:rPr>
        <w:tab/>
        <w:t xml:space="preserve">3 – Les principes fondamentaux du droit international, et surtout les Conventions de </w:t>
      </w:r>
      <w:proofErr w:type="gramStart"/>
      <w:r>
        <w:rPr>
          <w:b/>
          <w:bCs/>
          <w:sz w:val="40"/>
          <w:szCs w:val="40"/>
        </w:rPr>
        <w:t>Genève  de</w:t>
      </w:r>
      <w:proofErr w:type="gramEnd"/>
      <w:r>
        <w:rPr>
          <w:b/>
          <w:bCs/>
          <w:sz w:val="40"/>
          <w:szCs w:val="40"/>
        </w:rPr>
        <w:t xml:space="preserve"> 1949, ne permettent pas à Israël d’annexer les territoires occupés depuis 1967 et d’y établir des colonies de peuplement juives.</w:t>
      </w:r>
    </w:p>
    <w:p w14:paraId="4442574A" w14:textId="401B9384" w:rsidR="006609FA" w:rsidRDefault="006609FA" w:rsidP="00640570">
      <w:pPr>
        <w:jc w:val="both"/>
        <w:rPr>
          <w:b/>
          <w:bCs/>
          <w:sz w:val="40"/>
          <w:szCs w:val="40"/>
        </w:rPr>
      </w:pPr>
    </w:p>
    <w:p w14:paraId="7CF6FC6D" w14:textId="1CA59C6E" w:rsidR="006609FA" w:rsidRDefault="006609FA" w:rsidP="00640570">
      <w:pPr>
        <w:jc w:val="both"/>
        <w:rPr>
          <w:b/>
          <w:bCs/>
          <w:sz w:val="40"/>
          <w:szCs w:val="40"/>
        </w:rPr>
      </w:pPr>
      <w:r>
        <w:rPr>
          <w:b/>
          <w:bCs/>
          <w:sz w:val="40"/>
          <w:szCs w:val="40"/>
        </w:rPr>
        <w:tab/>
        <w:t>La naissance du sionisme politique</w:t>
      </w:r>
    </w:p>
    <w:p w14:paraId="186EF703" w14:textId="7406F9C4" w:rsidR="006609FA" w:rsidRDefault="006609FA" w:rsidP="00640570">
      <w:pPr>
        <w:jc w:val="both"/>
        <w:rPr>
          <w:b/>
          <w:bCs/>
          <w:sz w:val="40"/>
          <w:szCs w:val="40"/>
        </w:rPr>
      </w:pPr>
    </w:p>
    <w:p w14:paraId="4AA8BF93" w14:textId="142B72B7" w:rsidR="006609FA" w:rsidRDefault="006609FA" w:rsidP="00640570">
      <w:pPr>
        <w:jc w:val="both"/>
        <w:rPr>
          <w:b/>
          <w:bCs/>
          <w:sz w:val="40"/>
          <w:szCs w:val="40"/>
        </w:rPr>
      </w:pPr>
      <w:r>
        <w:rPr>
          <w:b/>
          <w:bCs/>
          <w:sz w:val="40"/>
          <w:szCs w:val="40"/>
        </w:rPr>
        <w:tab/>
        <w:t xml:space="preserve">Les historiens s’accordent pour dire que c’est vers la fin du XIXe siècle que naît le sionisme politique. </w:t>
      </w:r>
    </w:p>
    <w:p w14:paraId="61DC9ABD" w14:textId="672930B4" w:rsidR="006609FA" w:rsidRDefault="006609FA" w:rsidP="00640570">
      <w:pPr>
        <w:jc w:val="both"/>
        <w:rPr>
          <w:b/>
          <w:bCs/>
          <w:sz w:val="40"/>
          <w:szCs w:val="40"/>
        </w:rPr>
      </w:pPr>
    </w:p>
    <w:p w14:paraId="323E66BF" w14:textId="7E8DA44C" w:rsidR="006609FA" w:rsidRDefault="006609FA" w:rsidP="00640570">
      <w:pPr>
        <w:jc w:val="both"/>
        <w:rPr>
          <w:b/>
          <w:bCs/>
          <w:sz w:val="40"/>
          <w:szCs w:val="40"/>
        </w:rPr>
      </w:pPr>
      <w:r>
        <w:rPr>
          <w:b/>
          <w:bCs/>
          <w:sz w:val="40"/>
          <w:szCs w:val="40"/>
        </w:rPr>
        <w:tab/>
        <w:t xml:space="preserve">Le projet de colonisation sioniste de la Palestine </w:t>
      </w:r>
    </w:p>
    <w:p w14:paraId="1D6D4E23" w14:textId="67FA2D47" w:rsidR="006609FA" w:rsidRDefault="006609FA" w:rsidP="00640570">
      <w:pPr>
        <w:jc w:val="both"/>
        <w:rPr>
          <w:b/>
          <w:bCs/>
          <w:sz w:val="40"/>
          <w:szCs w:val="40"/>
        </w:rPr>
      </w:pPr>
      <w:proofErr w:type="gramStart"/>
      <w:r>
        <w:rPr>
          <w:b/>
          <w:bCs/>
          <w:sz w:val="40"/>
          <w:szCs w:val="40"/>
        </w:rPr>
        <w:t>commença</w:t>
      </w:r>
      <w:proofErr w:type="gramEnd"/>
      <w:r>
        <w:rPr>
          <w:b/>
          <w:bCs/>
          <w:sz w:val="40"/>
          <w:szCs w:val="40"/>
        </w:rPr>
        <w:t xml:space="preserve"> au tout début du XXe siècle. Un des slogans qui fut adopté par le mouvement était :</w:t>
      </w:r>
      <w:proofErr w:type="gramStart"/>
      <w:r>
        <w:rPr>
          <w:b/>
          <w:bCs/>
          <w:sz w:val="40"/>
          <w:szCs w:val="40"/>
        </w:rPr>
        <w:t>   «</w:t>
      </w:r>
      <w:proofErr w:type="gramEnd"/>
      <w:r>
        <w:rPr>
          <w:b/>
          <w:bCs/>
          <w:sz w:val="40"/>
          <w:szCs w:val="40"/>
        </w:rPr>
        <w:t xml:space="preserve"> Une terre sans peuple pour un peuple sans terre », ce qui supposait et propageait l’idée que la </w:t>
      </w:r>
      <w:r>
        <w:rPr>
          <w:b/>
          <w:bCs/>
          <w:sz w:val="40"/>
          <w:szCs w:val="40"/>
        </w:rPr>
        <w:lastRenderedPageBreak/>
        <w:t xml:space="preserve">Palestine était déserte et que les Juifs européens pouvaient l’occuper. Or, la Palestine n’était pas une terre sans peuple. Un </w:t>
      </w:r>
      <w:proofErr w:type="gramStart"/>
      <w:r>
        <w:rPr>
          <w:b/>
          <w:bCs/>
          <w:sz w:val="40"/>
          <w:szCs w:val="40"/>
        </w:rPr>
        <w:t>population  autochtone</w:t>
      </w:r>
      <w:proofErr w:type="gramEnd"/>
      <w:r>
        <w:rPr>
          <w:b/>
          <w:bCs/>
          <w:sz w:val="40"/>
          <w:szCs w:val="40"/>
        </w:rPr>
        <w:t xml:space="preserve"> y vivait depuis toujours.</w:t>
      </w:r>
    </w:p>
    <w:p w14:paraId="5E4FE7E5" w14:textId="3A8032BB" w:rsidR="006609FA" w:rsidRDefault="006609FA" w:rsidP="00640570">
      <w:pPr>
        <w:jc w:val="both"/>
        <w:rPr>
          <w:b/>
          <w:bCs/>
          <w:sz w:val="40"/>
          <w:szCs w:val="40"/>
        </w:rPr>
      </w:pPr>
    </w:p>
    <w:p w14:paraId="6326F10B" w14:textId="434B3C45" w:rsidR="006609FA" w:rsidRDefault="006609FA" w:rsidP="006609FA">
      <w:pPr>
        <w:ind w:firstLine="708"/>
        <w:jc w:val="both"/>
        <w:rPr>
          <w:b/>
          <w:bCs/>
          <w:sz w:val="40"/>
          <w:szCs w:val="40"/>
        </w:rPr>
      </w:pPr>
      <w:r>
        <w:rPr>
          <w:b/>
          <w:bCs/>
          <w:sz w:val="40"/>
          <w:szCs w:val="40"/>
        </w:rPr>
        <w:t>1917-1923</w:t>
      </w:r>
    </w:p>
    <w:p w14:paraId="3853FAA9" w14:textId="08C3E5D6" w:rsidR="006609FA" w:rsidRDefault="006609FA" w:rsidP="00640570">
      <w:pPr>
        <w:jc w:val="both"/>
        <w:rPr>
          <w:b/>
          <w:bCs/>
          <w:sz w:val="40"/>
          <w:szCs w:val="40"/>
        </w:rPr>
      </w:pPr>
    </w:p>
    <w:p w14:paraId="5E54FE4F" w14:textId="19E1B230" w:rsidR="006609FA" w:rsidRDefault="006609FA" w:rsidP="00640570">
      <w:pPr>
        <w:jc w:val="both"/>
        <w:rPr>
          <w:b/>
          <w:bCs/>
          <w:sz w:val="40"/>
          <w:szCs w:val="40"/>
        </w:rPr>
      </w:pPr>
      <w:r>
        <w:rPr>
          <w:b/>
          <w:bCs/>
          <w:sz w:val="40"/>
          <w:szCs w:val="40"/>
        </w:rPr>
        <w:tab/>
        <w:t xml:space="preserve">En 1917, un tournant majeur se produisit. Lord </w:t>
      </w:r>
      <w:r w:rsidR="00CD76B7">
        <w:rPr>
          <w:b/>
          <w:bCs/>
          <w:sz w:val="40"/>
          <w:szCs w:val="40"/>
        </w:rPr>
        <w:t>A</w:t>
      </w:r>
      <w:r>
        <w:rPr>
          <w:b/>
          <w:bCs/>
          <w:sz w:val="40"/>
          <w:szCs w:val="40"/>
        </w:rPr>
        <w:t xml:space="preserve">rthur Balfour, alors ministre </w:t>
      </w:r>
      <w:r w:rsidR="00CD76B7">
        <w:rPr>
          <w:b/>
          <w:bCs/>
          <w:sz w:val="40"/>
          <w:szCs w:val="40"/>
        </w:rPr>
        <w:t xml:space="preserve">des Affaires étrangères de la Grande-Bretagne, déclara que la couronne britannique appuyait le projet d’établissement </w:t>
      </w:r>
      <w:proofErr w:type="gramStart"/>
      <w:r w:rsidR="00CD76B7">
        <w:rPr>
          <w:b/>
          <w:bCs/>
          <w:sz w:val="40"/>
          <w:szCs w:val="40"/>
        </w:rPr>
        <w:t>«  d’un</w:t>
      </w:r>
      <w:proofErr w:type="gramEnd"/>
      <w:r w:rsidR="00CD76B7">
        <w:rPr>
          <w:b/>
          <w:bCs/>
          <w:sz w:val="40"/>
          <w:szCs w:val="40"/>
        </w:rPr>
        <w:t xml:space="preserve"> foyer national juif » en Palestine. Depuis 1917, ce processus s’est déroulé en trois phases. </w:t>
      </w:r>
    </w:p>
    <w:p w14:paraId="027DA924" w14:textId="29CE8B6B" w:rsidR="00CD76B7" w:rsidRDefault="00CD76B7" w:rsidP="00640570">
      <w:pPr>
        <w:jc w:val="both"/>
        <w:rPr>
          <w:b/>
          <w:bCs/>
          <w:sz w:val="40"/>
          <w:szCs w:val="40"/>
        </w:rPr>
      </w:pPr>
    </w:p>
    <w:p w14:paraId="73C74A55" w14:textId="29A78998" w:rsidR="00CD76B7" w:rsidRDefault="00CD76B7" w:rsidP="00640570">
      <w:pPr>
        <w:jc w:val="both"/>
        <w:rPr>
          <w:b/>
          <w:bCs/>
          <w:sz w:val="40"/>
          <w:szCs w:val="40"/>
        </w:rPr>
      </w:pPr>
      <w:r>
        <w:rPr>
          <w:b/>
          <w:bCs/>
          <w:sz w:val="40"/>
          <w:szCs w:val="40"/>
        </w:rPr>
        <w:tab/>
        <w:t xml:space="preserve">Phase 1 : Préparer la conquête </w:t>
      </w:r>
      <w:proofErr w:type="gramStart"/>
      <w:r>
        <w:rPr>
          <w:b/>
          <w:bCs/>
          <w:sz w:val="40"/>
          <w:szCs w:val="40"/>
        </w:rPr>
        <w:t>( 1917</w:t>
      </w:r>
      <w:proofErr w:type="gramEnd"/>
      <w:r>
        <w:rPr>
          <w:b/>
          <w:bCs/>
          <w:sz w:val="40"/>
          <w:szCs w:val="40"/>
        </w:rPr>
        <w:t>-1948 ).</w:t>
      </w:r>
    </w:p>
    <w:p w14:paraId="1B566503" w14:textId="5C6DE0EE" w:rsidR="00CD76B7" w:rsidRDefault="00CD76B7" w:rsidP="00640570">
      <w:pPr>
        <w:jc w:val="both"/>
        <w:rPr>
          <w:b/>
          <w:bCs/>
          <w:sz w:val="40"/>
          <w:szCs w:val="40"/>
        </w:rPr>
      </w:pPr>
    </w:p>
    <w:p w14:paraId="7E5AF72E" w14:textId="2F6928C1" w:rsidR="00CD76B7" w:rsidRDefault="00CD76B7" w:rsidP="00640570">
      <w:pPr>
        <w:jc w:val="both"/>
        <w:rPr>
          <w:b/>
          <w:bCs/>
          <w:sz w:val="40"/>
          <w:szCs w:val="40"/>
        </w:rPr>
      </w:pPr>
      <w:r>
        <w:rPr>
          <w:b/>
          <w:bCs/>
          <w:sz w:val="40"/>
          <w:szCs w:val="40"/>
        </w:rPr>
        <w:tab/>
        <w:t xml:space="preserve">Les années 1917-1922 constituent le mouvement structurant pour cette période. Durant ces cinq ans le mouvement sioniste travailla étroitement avec ses alliés pour incorporer les objectifs de la Déclaration de Balfour dans le Mandat sur la Palestine, qui sera donné à la Grande-Bretagne par la Société de Nations </w:t>
      </w:r>
      <w:proofErr w:type="gramStart"/>
      <w:r>
        <w:rPr>
          <w:b/>
          <w:bCs/>
          <w:sz w:val="40"/>
          <w:szCs w:val="40"/>
        </w:rPr>
        <w:t>( devenue</w:t>
      </w:r>
      <w:proofErr w:type="gramEnd"/>
      <w:r>
        <w:rPr>
          <w:b/>
          <w:bCs/>
          <w:sz w:val="40"/>
          <w:szCs w:val="40"/>
        </w:rPr>
        <w:t xml:space="preserve"> l’ONU ) à la Grande-Bretagne. </w:t>
      </w:r>
    </w:p>
    <w:p w14:paraId="704D4722" w14:textId="5FAEC714" w:rsidR="00CD76B7" w:rsidRDefault="00CD76B7" w:rsidP="00640570">
      <w:pPr>
        <w:jc w:val="both"/>
        <w:rPr>
          <w:b/>
          <w:bCs/>
          <w:sz w:val="40"/>
          <w:szCs w:val="40"/>
        </w:rPr>
      </w:pPr>
    </w:p>
    <w:p w14:paraId="4F18417A" w14:textId="35F395B4" w:rsidR="00CD76B7" w:rsidRDefault="00CD76B7" w:rsidP="00640570">
      <w:pPr>
        <w:jc w:val="both"/>
        <w:rPr>
          <w:b/>
          <w:bCs/>
          <w:sz w:val="40"/>
          <w:szCs w:val="40"/>
        </w:rPr>
      </w:pPr>
      <w:r>
        <w:rPr>
          <w:b/>
          <w:bCs/>
          <w:sz w:val="40"/>
          <w:szCs w:val="40"/>
        </w:rPr>
        <w:lastRenderedPageBreak/>
        <w:tab/>
        <w:t xml:space="preserve">Phase 2 : La conquête par la guerre et l’occupation </w:t>
      </w:r>
      <w:proofErr w:type="gramStart"/>
      <w:r>
        <w:rPr>
          <w:b/>
          <w:bCs/>
          <w:sz w:val="40"/>
          <w:szCs w:val="40"/>
        </w:rPr>
        <w:t>( 1948</w:t>
      </w:r>
      <w:proofErr w:type="gramEnd"/>
      <w:r>
        <w:rPr>
          <w:b/>
          <w:bCs/>
          <w:sz w:val="40"/>
          <w:szCs w:val="40"/>
        </w:rPr>
        <w:t>-1993 ).</w:t>
      </w:r>
    </w:p>
    <w:p w14:paraId="5CC2EAA3" w14:textId="3CB05DA9" w:rsidR="00CD76B7" w:rsidRDefault="00CD76B7" w:rsidP="00640570">
      <w:pPr>
        <w:jc w:val="both"/>
        <w:rPr>
          <w:b/>
          <w:bCs/>
          <w:sz w:val="40"/>
          <w:szCs w:val="40"/>
        </w:rPr>
      </w:pPr>
    </w:p>
    <w:p w14:paraId="5505EC31" w14:textId="0E7B8056" w:rsidR="00CD76B7" w:rsidRDefault="00CD76B7" w:rsidP="00640570">
      <w:pPr>
        <w:jc w:val="both"/>
        <w:rPr>
          <w:b/>
          <w:bCs/>
          <w:sz w:val="40"/>
          <w:szCs w:val="40"/>
        </w:rPr>
      </w:pPr>
      <w:r>
        <w:rPr>
          <w:b/>
          <w:bCs/>
          <w:sz w:val="40"/>
          <w:szCs w:val="40"/>
        </w:rPr>
        <w:tab/>
        <w:t xml:space="preserve">Cette deuxième période </w:t>
      </w:r>
      <w:r w:rsidR="00E932BA">
        <w:rPr>
          <w:b/>
          <w:bCs/>
          <w:sz w:val="40"/>
          <w:szCs w:val="40"/>
        </w:rPr>
        <w:t xml:space="preserve">commence par l’établissement de l’État d’Israël en 1948 et une première guerre d’occupation directe du territoire de la Palestine </w:t>
      </w:r>
      <w:proofErr w:type="gramStart"/>
      <w:r w:rsidR="00E932BA">
        <w:rPr>
          <w:b/>
          <w:bCs/>
          <w:sz w:val="40"/>
          <w:szCs w:val="40"/>
        </w:rPr>
        <w:t>( 1948</w:t>
      </w:r>
      <w:proofErr w:type="gramEnd"/>
      <w:r w:rsidR="00E932BA">
        <w:rPr>
          <w:b/>
          <w:bCs/>
          <w:sz w:val="40"/>
          <w:szCs w:val="40"/>
        </w:rPr>
        <w:t xml:space="preserve">-1949 ). Le nouvel </w:t>
      </w:r>
      <w:proofErr w:type="gramStart"/>
      <w:r w:rsidR="00E932BA">
        <w:rPr>
          <w:b/>
          <w:bCs/>
          <w:sz w:val="40"/>
          <w:szCs w:val="40"/>
        </w:rPr>
        <w:t>État ,</w:t>
      </w:r>
      <w:proofErr w:type="gramEnd"/>
      <w:r w:rsidR="00E932BA">
        <w:rPr>
          <w:b/>
          <w:bCs/>
          <w:sz w:val="40"/>
          <w:szCs w:val="40"/>
        </w:rPr>
        <w:t xml:space="preserve"> Israël, contrôle 78% du territoire de la Palestine dont sont expulsés les 2/3 des Palestiniens qui y habitaient.</w:t>
      </w:r>
    </w:p>
    <w:p w14:paraId="32F724CE" w14:textId="4E4BCA34" w:rsidR="00E932BA" w:rsidRDefault="00E932BA" w:rsidP="00640570">
      <w:pPr>
        <w:jc w:val="both"/>
        <w:rPr>
          <w:b/>
          <w:bCs/>
          <w:sz w:val="40"/>
          <w:szCs w:val="40"/>
        </w:rPr>
      </w:pPr>
    </w:p>
    <w:p w14:paraId="7B1F035A" w14:textId="25AB3FE8" w:rsidR="00E932BA" w:rsidRDefault="00E932BA" w:rsidP="00640570">
      <w:pPr>
        <w:jc w:val="both"/>
        <w:rPr>
          <w:b/>
          <w:bCs/>
          <w:sz w:val="40"/>
          <w:szCs w:val="40"/>
        </w:rPr>
      </w:pPr>
      <w:r>
        <w:rPr>
          <w:b/>
          <w:bCs/>
          <w:sz w:val="40"/>
          <w:szCs w:val="40"/>
        </w:rPr>
        <w:tab/>
        <w:t xml:space="preserve">Une deuxième guerre aura lieu en 1967 et permettra l’occupation du reste de la Palestine </w:t>
      </w:r>
      <w:proofErr w:type="gramStart"/>
      <w:r>
        <w:rPr>
          <w:b/>
          <w:bCs/>
          <w:sz w:val="40"/>
          <w:szCs w:val="40"/>
        </w:rPr>
        <w:t>( la</w:t>
      </w:r>
      <w:proofErr w:type="gramEnd"/>
      <w:r>
        <w:rPr>
          <w:b/>
          <w:bCs/>
          <w:sz w:val="40"/>
          <w:szCs w:val="40"/>
        </w:rPr>
        <w:t xml:space="preserve"> Cisjordanie et Gaza ), constituants les 22% restants. </w:t>
      </w:r>
    </w:p>
    <w:p w14:paraId="35BF5DC1" w14:textId="097C90FB" w:rsidR="00E932BA" w:rsidRDefault="00E932BA" w:rsidP="00640570">
      <w:pPr>
        <w:jc w:val="both"/>
        <w:rPr>
          <w:b/>
          <w:bCs/>
          <w:sz w:val="40"/>
          <w:szCs w:val="40"/>
        </w:rPr>
      </w:pPr>
    </w:p>
    <w:p w14:paraId="0AD294D3" w14:textId="38590F82" w:rsidR="00E932BA" w:rsidRDefault="00E932BA" w:rsidP="00640570">
      <w:pPr>
        <w:jc w:val="both"/>
        <w:rPr>
          <w:b/>
          <w:bCs/>
          <w:sz w:val="40"/>
          <w:szCs w:val="40"/>
        </w:rPr>
      </w:pPr>
      <w:r>
        <w:rPr>
          <w:b/>
          <w:bCs/>
          <w:sz w:val="40"/>
          <w:szCs w:val="40"/>
        </w:rPr>
        <w:tab/>
        <w:t xml:space="preserve">Phase 3 : La conquête sous couvert de processus de paix </w:t>
      </w:r>
      <w:proofErr w:type="gramStart"/>
      <w:r>
        <w:rPr>
          <w:b/>
          <w:bCs/>
          <w:sz w:val="40"/>
          <w:szCs w:val="40"/>
        </w:rPr>
        <w:t>( 1993</w:t>
      </w:r>
      <w:proofErr w:type="gramEnd"/>
      <w:r>
        <w:rPr>
          <w:b/>
          <w:bCs/>
          <w:sz w:val="40"/>
          <w:szCs w:val="40"/>
        </w:rPr>
        <w:t>-2023 ).</w:t>
      </w:r>
    </w:p>
    <w:p w14:paraId="4BB4BE2D" w14:textId="6FF096EB" w:rsidR="00F16554" w:rsidRDefault="00F16554" w:rsidP="00640570">
      <w:pPr>
        <w:jc w:val="both"/>
        <w:rPr>
          <w:b/>
          <w:bCs/>
          <w:sz w:val="40"/>
          <w:szCs w:val="40"/>
        </w:rPr>
      </w:pPr>
    </w:p>
    <w:p w14:paraId="7BDA95A7" w14:textId="334969B7" w:rsidR="00F16554" w:rsidRDefault="00F16554" w:rsidP="00640570">
      <w:pPr>
        <w:jc w:val="both"/>
        <w:rPr>
          <w:b/>
          <w:bCs/>
          <w:sz w:val="40"/>
          <w:szCs w:val="40"/>
        </w:rPr>
      </w:pPr>
      <w:r>
        <w:rPr>
          <w:b/>
          <w:bCs/>
          <w:sz w:val="40"/>
          <w:szCs w:val="40"/>
        </w:rPr>
        <w:tab/>
        <w:t xml:space="preserve">Un processus de paix est mis en place à Oslo en 1993. Cependant, durant les négociations, Israël va intensifier son occupation des territoires occupés., de telle sorte qu’au terme de ces trente dernières années, Israël parviendra à contrôler plus de territoire palestinien en Cisjordanie qu’au tout début du processus. </w:t>
      </w:r>
    </w:p>
    <w:p w14:paraId="2C48B873" w14:textId="77777777" w:rsidR="00E932BA" w:rsidRDefault="00E932BA" w:rsidP="00640570">
      <w:pPr>
        <w:jc w:val="both"/>
        <w:rPr>
          <w:b/>
          <w:bCs/>
          <w:sz w:val="40"/>
          <w:szCs w:val="40"/>
        </w:rPr>
      </w:pPr>
    </w:p>
    <w:p w14:paraId="4C98FEC9" w14:textId="6FD07C98" w:rsidR="00E932BA" w:rsidRDefault="00E932BA" w:rsidP="00640570">
      <w:pPr>
        <w:jc w:val="both"/>
        <w:rPr>
          <w:b/>
          <w:bCs/>
          <w:sz w:val="40"/>
          <w:szCs w:val="40"/>
        </w:rPr>
      </w:pPr>
      <w:r>
        <w:rPr>
          <w:b/>
          <w:bCs/>
          <w:sz w:val="40"/>
          <w:szCs w:val="40"/>
        </w:rPr>
        <w:t xml:space="preserve"> </w:t>
      </w:r>
    </w:p>
    <w:p w14:paraId="1D76C8BD" w14:textId="75DF364F" w:rsidR="006609FA" w:rsidRDefault="00F16554" w:rsidP="00F16554">
      <w:pPr>
        <w:jc w:val="center"/>
        <w:rPr>
          <w:b/>
          <w:bCs/>
          <w:sz w:val="40"/>
          <w:szCs w:val="40"/>
        </w:rPr>
      </w:pPr>
      <w:r>
        <w:rPr>
          <w:b/>
          <w:bCs/>
          <w:noProof/>
          <w:sz w:val="40"/>
          <w:szCs w:val="40"/>
        </w:rPr>
        <w:lastRenderedPageBreak/>
        <w:drawing>
          <wp:inline distT="0" distB="0" distL="0" distR="0" wp14:anchorId="3D44DA3B" wp14:editId="6384B9F7">
            <wp:extent cx="6408000" cy="4690300"/>
            <wp:effectExtent l="0" t="0" r="5715" b="0"/>
            <wp:docPr id="80749445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94459" name="Image 807494459"/>
                    <pic:cNvPicPr/>
                  </pic:nvPicPr>
                  <pic:blipFill>
                    <a:blip r:embed="rId6">
                      <a:extLst>
                        <a:ext uri="{28A0092B-C50C-407E-A947-70E740481C1C}">
                          <a14:useLocalDpi xmlns:a14="http://schemas.microsoft.com/office/drawing/2010/main" val="0"/>
                        </a:ext>
                      </a:extLst>
                    </a:blip>
                    <a:stretch>
                      <a:fillRect/>
                    </a:stretch>
                  </pic:blipFill>
                  <pic:spPr>
                    <a:xfrm>
                      <a:off x="0" y="0"/>
                      <a:ext cx="6408000" cy="4690300"/>
                    </a:xfrm>
                    <a:prstGeom prst="rect">
                      <a:avLst/>
                    </a:prstGeom>
                  </pic:spPr>
                </pic:pic>
              </a:graphicData>
            </a:graphic>
          </wp:inline>
        </w:drawing>
      </w:r>
    </w:p>
    <w:p w14:paraId="0F335F07" w14:textId="59610640" w:rsidR="00F16554" w:rsidRDefault="00F16554" w:rsidP="00F16554">
      <w:pPr>
        <w:jc w:val="center"/>
        <w:rPr>
          <w:b/>
          <w:bCs/>
          <w:sz w:val="40"/>
          <w:szCs w:val="40"/>
        </w:rPr>
      </w:pPr>
      <w:r>
        <w:rPr>
          <w:b/>
          <w:bCs/>
          <w:sz w:val="40"/>
          <w:szCs w:val="40"/>
        </w:rPr>
        <w:t>Conclusion</w:t>
      </w:r>
    </w:p>
    <w:p w14:paraId="7A39A933" w14:textId="111D1592" w:rsidR="00F16554" w:rsidRDefault="00F16554" w:rsidP="00F16554">
      <w:pPr>
        <w:jc w:val="center"/>
        <w:rPr>
          <w:b/>
          <w:bCs/>
          <w:sz w:val="40"/>
          <w:szCs w:val="40"/>
        </w:rPr>
      </w:pPr>
    </w:p>
    <w:p w14:paraId="23D14840" w14:textId="34D1589A" w:rsidR="00F16554" w:rsidRDefault="004B173B" w:rsidP="004B173B">
      <w:pPr>
        <w:jc w:val="both"/>
        <w:rPr>
          <w:b/>
          <w:bCs/>
          <w:sz w:val="40"/>
          <w:szCs w:val="40"/>
        </w:rPr>
      </w:pPr>
      <w:r>
        <w:rPr>
          <w:b/>
          <w:bCs/>
          <w:sz w:val="40"/>
          <w:szCs w:val="40"/>
        </w:rPr>
        <w:tab/>
        <w:t xml:space="preserve">Devant la Cour internationale de justice, la juriste de renommée mondiale </w:t>
      </w:r>
      <w:proofErr w:type="gramStart"/>
      <w:r>
        <w:rPr>
          <w:b/>
          <w:bCs/>
          <w:sz w:val="40"/>
          <w:szCs w:val="40"/>
        </w:rPr>
        <w:t>«  Me</w:t>
      </w:r>
      <w:proofErr w:type="gramEnd"/>
      <w:r>
        <w:rPr>
          <w:b/>
          <w:bCs/>
          <w:sz w:val="40"/>
          <w:szCs w:val="40"/>
        </w:rPr>
        <w:t xml:space="preserve"> Monique </w:t>
      </w:r>
      <w:proofErr w:type="spellStart"/>
      <w:r>
        <w:rPr>
          <w:b/>
          <w:bCs/>
          <w:sz w:val="40"/>
          <w:szCs w:val="40"/>
        </w:rPr>
        <w:t>Chemillier</w:t>
      </w:r>
      <w:proofErr w:type="spellEnd"/>
      <w:r>
        <w:rPr>
          <w:b/>
          <w:bCs/>
          <w:sz w:val="40"/>
          <w:szCs w:val="40"/>
        </w:rPr>
        <w:t>-Gendreau a souligné en ces termes la triple illégalité du contrôle israélien sur le territoire palestinien :</w:t>
      </w:r>
    </w:p>
    <w:p w14:paraId="5E40C8C9" w14:textId="65F765D3" w:rsidR="004B173B" w:rsidRDefault="004B173B" w:rsidP="004B173B">
      <w:pPr>
        <w:jc w:val="both"/>
        <w:rPr>
          <w:b/>
          <w:bCs/>
          <w:sz w:val="40"/>
          <w:szCs w:val="40"/>
        </w:rPr>
      </w:pPr>
      <w:r>
        <w:rPr>
          <w:b/>
          <w:bCs/>
          <w:sz w:val="40"/>
          <w:szCs w:val="40"/>
        </w:rPr>
        <w:tab/>
        <w:t xml:space="preserve">« Il résulte de ces constats comme votre Cour ne manquera pas de le confirmer, que l’occupation par Israël du territoire palestinien est frappée d’une triple illégalité. Elle est illégale à sa source pour être </w:t>
      </w:r>
      <w:r>
        <w:rPr>
          <w:b/>
          <w:bCs/>
          <w:sz w:val="40"/>
          <w:szCs w:val="40"/>
        </w:rPr>
        <w:lastRenderedPageBreak/>
        <w:t>en infraction à l’interdiction de l’emploi de la force. Elle est illégale par les moyens déployés, lesquels sont constitutifs de violations systématiques du droit humanitaire et de droits de l’Homme. Elle est illégale par son objectif, celui-ci étant de procéder à l’annexion des territoires palestiniens</w:t>
      </w:r>
      <w:r w:rsidR="00AD3C29">
        <w:rPr>
          <w:b/>
          <w:bCs/>
          <w:sz w:val="40"/>
          <w:szCs w:val="40"/>
        </w:rPr>
        <w:t>, privant ainsi le peuple de Palestine de son droit fondamental à disposer de lui-même.</w:t>
      </w:r>
    </w:p>
    <w:p w14:paraId="5F0A4E6E" w14:textId="77777777" w:rsidR="00AD3C29" w:rsidRDefault="00AD3C29" w:rsidP="004B173B">
      <w:pPr>
        <w:jc w:val="both"/>
        <w:rPr>
          <w:b/>
          <w:bCs/>
          <w:sz w:val="40"/>
          <w:szCs w:val="40"/>
        </w:rPr>
      </w:pPr>
    </w:p>
    <w:p w14:paraId="5A318957" w14:textId="396EA440" w:rsidR="00BA0BAD" w:rsidRDefault="00BA0BAD" w:rsidP="00640570">
      <w:pPr>
        <w:jc w:val="both"/>
        <w:rPr>
          <w:b/>
          <w:bCs/>
          <w:sz w:val="40"/>
          <w:szCs w:val="40"/>
        </w:rPr>
      </w:pPr>
    </w:p>
    <w:p w14:paraId="649FF654" w14:textId="77777777" w:rsidR="00BA0BAD" w:rsidRDefault="00BA0BAD" w:rsidP="00640570">
      <w:pPr>
        <w:jc w:val="both"/>
        <w:rPr>
          <w:b/>
          <w:bCs/>
          <w:sz w:val="40"/>
          <w:szCs w:val="40"/>
        </w:rPr>
      </w:pPr>
    </w:p>
    <w:p w14:paraId="2101A61B" w14:textId="574E1B38" w:rsidR="00640570" w:rsidRDefault="00640570" w:rsidP="00640570">
      <w:pPr>
        <w:jc w:val="both"/>
        <w:rPr>
          <w:b/>
          <w:bCs/>
          <w:sz w:val="40"/>
          <w:szCs w:val="40"/>
        </w:rPr>
      </w:pPr>
    </w:p>
    <w:p w14:paraId="6A772322" w14:textId="778BCFDA" w:rsidR="00640570" w:rsidRDefault="00640570" w:rsidP="00640570">
      <w:pPr>
        <w:jc w:val="both"/>
        <w:rPr>
          <w:b/>
          <w:bCs/>
          <w:sz w:val="40"/>
          <w:szCs w:val="40"/>
        </w:rPr>
      </w:pPr>
      <w:r>
        <w:rPr>
          <w:b/>
          <w:bCs/>
          <w:sz w:val="40"/>
          <w:szCs w:val="40"/>
        </w:rPr>
        <w:tab/>
      </w:r>
    </w:p>
    <w:p w14:paraId="0C8CC583" w14:textId="0F81DAFB" w:rsidR="00640570" w:rsidRDefault="00640570" w:rsidP="00640570">
      <w:pPr>
        <w:jc w:val="both"/>
        <w:rPr>
          <w:b/>
          <w:bCs/>
          <w:sz w:val="40"/>
          <w:szCs w:val="40"/>
        </w:rPr>
      </w:pPr>
    </w:p>
    <w:p w14:paraId="03BA7EFE" w14:textId="24A68568" w:rsidR="00640570" w:rsidRDefault="00640570" w:rsidP="00640570">
      <w:pPr>
        <w:jc w:val="both"/>
        <w:rPr>
          <w:b/>
          <w:bCs/>
          <w:sz w:val="40"/>
          <w:szCs w:val="40"/>
        </w:rPr>
      </w:pPr>
    </w:p>
    <w:p w14:paraId="2358A3ED" w14:textId="77777777" w:rsidR="00640570" w:rsidRDefault="00640570" w:rsidP="00640570">
      <w:pPr>
        <w:jc w:val="both"/>
        <w:rPr>
          <w:b/>
          <w:bCs/>
          <w:sz w:val="40"/>
          <w:szCs w:val="40"/>
        </w:rPr>
      </w:pPr>
    </w:p>
    <w:p w14:paraId="605AA269" w14:textId="10157695" w:rsidR="00640570" w:rsidRDefault="00640570" w:rsidP="00640570">
      <w:pPr>
        <w:jc w:val="center"/>
        <w:rPr>
          <w:b/>
          <w:bCs/>
          <w:sz w:val="40"/>
          <w:szCs w:val="40"/>
        </w:rPr>
      </w:pPr>
    </w:p>
    <w:p w14:paraId="2272DCD7" w14:textId="77777777" w:rsidR="00640570" w:rsidRPr="00640570" w:rsidRDefault="00640570" w:rsidP="00640570">
      <w:pPr>
        <w:jc w:val="center"/>
        <w:rPr>
          <w:b/>
          <w:bCs/>
          <w:sz w:val="40"/>
          <w:szCs w:val="40"/>
        </w:rPr>
      </w:pPr>
    </w:p>
    <w:sectPr w:rsidR="00640570" w:rsidRPr="00640570" w:rsidSect="00AE4CCA">
      <w:footerReference w:type="even" r:id="rId7"/>
      <w:footerReference w:type="default" r:id="rId8"/>
      <w:pgSz w:w="12240" w:h="15840"/>
      <w:pgMar w:top="1440" w:right="1800" w:bottom="1440" w:left="180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DD4B6" w14:textId="77777777" w:rsidR="00CE32F3" w:rsidRDefault="00CE32F3" w:rsidP="00AE4CCA">
      <w:r>
        <w:separator/>
      </w:r>
    </w:p>
  </w:endnote>
  <w:endnote w:type="continuationSeparator" w:id="0">
    <w:p w14:paraId="2C16BE2F" w14:textId="77777777" w:rsidR="00CE32F3" w:rsidRDefault="00CE32F3" w:rsidP="00AE4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029313996"/>
      <w:docPartObj>
        <w:docPartGallery w:val="Page Numbers (Bottom of Page)"/>
        <w:docPartUnique/>
      </w:docPartObj>
    </w:sdtPr>
    <w:sdtContent>
      <w:p w14:paraId="675FDFAE" w14:textId="1552117B" w:rsidR="00AE4CCA" w:rsidRDefault="00AE4CCA" w:rsidP="001E271C">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A63F2A0" w14:textId="77777777" w:rsidR="00AE4CCA" w:rsidRDefault="00AE4CC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655026755"/>
      <w:docPartObj>
        <w:docPartGallery w:val="Page Numbers (Bottom of Page)"/>
        <w:docPartUnique/>
      </w:docPartObj>
    </w:sdtPr>
    <w:sdtContent>
      <w:p w14:paraId="23D85815" w14:textId="2F3B9B0C" w:rsidR="00AE4CCA" w:rsidRDefault="00AE4CCA" w:rsidP="001E271C">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0BE9CFDF" w14:textId="77777777" w:rsidR="00AE4CCA" w:rsidRDefault="00AE4CC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379FB" w14:textId="77777777" w:rsidR="00CE32F3" w:rsidRDefault="00CE32F3" w:rsidP="00AE4CCA">
      <w:r>
        <w:separator/>
      </w:r>
    </w:p>
  </w:footnote>
  <w:footnote w:type="continuationSeparator" w:id="0">
    <w:p w14:paraId="7E77015B" w14:textId="77777777" w:rsidR="00CE32F3" w:rsidRDefault="00CE32F3" w:rsidP="00AE4C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570"/>
    <w:rsid w:val="00027D0D"/>
    <w:rsid w:val="001B32B0"/>
    <w:rsid w:val="001E171A"/>
    <w:rsid w:val="0039344D"/>
    <w:rsid w:val="003B3A91"/>
    <w:rsid w:val="004B173B"/>
    <w:rsid w:val="00640570"/>
    <w:rsid w:val="006609FA"/>
    <w:rsid w:val="006E3EF9"/>
    <w:rsid w:val="00AD3C29"/>
    <w:rsid w:val="00AE4CCA"/>
    <w:rsid w:val="00BA0BAD"/>
    <w:rsid w:val="00CD76B7"/>
    <w:rsid w:val="00CE32F3"/>
    <w:rsid w:val="00E932BA"/>
    <w:rsid w:val="00EC6777"/>
    <w:rsid w:val="00F1655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750973DF"/>
  <w15:chartTrackingRefBased/>
  <w15:docId w15:val="{36969C33-C15D-2A44-8F1F-5BB62DAF3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EF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AE4CCA"/>
    <w:pPr>
      <w:tabs>
        <w:tab w:val="center" w:pos="4320"/>
        <w:tab w:val="right" w:pos="8640"/>
      </w:tabs>
    </w:pPr>
  </w:style>
  <w:style w:type="character" w:customStyle="1" w:styleId="PieddepageCar">
    <w:name w:val="Pied de page Car"/>
    <w:basedOn w:val="Policepardfaut"/>
    <w:link w:val="Pieddepage"/>
    <w:uiPriority w:val="99"/>
    <w:rsid w:val="00AE4CCA"/>
  </w:style>
  <w:style w:type="character" w:styleId="Numrodepage">
    <w:name w:val="page number"/>
    <w:basedOn w:val="Policepardfaut"/>
    <w:uiPriority w:val="99"/>
    <w:semiHidden/>
    <w:unhideWhenUsed/>
    <w:rsid w:val="00AE4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2013 – 2022">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823</Words>
  <Characters>4527</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Raynald Horth</dc:creator>
  <cp:keywords/>
  <dc:description/>
  <cp:lastModifiedBy>Raynald Horth</cp:lastModifiedBy>
  <cp:revision>2</cp:revision>
  <dcterms:created xsi:type="dcterms:W3CDTF">2024-12-26T15:38:00Z</dcterms:created>
  <dcterms:modified xsi:type="dcterms:W3CDTF">2024-12-26T15:38:00Z</dcterms:modified>
</cp:coreProperties>
</file>